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Default="00D75644" w:rsidP="0004225B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Northeast Algal Society</w:t>
      </w:r>
    </w:p>
    <w:p w:rsidR="00DA5402" w:rsidRDefault="007878BE" w:rsidP="0004225B">
      <w:pPr>
        <w:jc w:val="center"/>
        <w:rPr>
          <w:rFonts w:ascii="Garamond" w:hAnsi="Garamond"/>
          <w:b/>
          <w:sz w:val="24"/>
          <w:szCs w:val="24"/>
        </w:rPr>
      </w:pPr>
      <w:r w:rsidRPr="006F01BC">
        <w:rPr>
          <w:rFonts w:ascii="Garamond" w:hAnsi="Garamond"/>
          <w:b/>
          <w:sz w:val="24"/>
          <w:szCs w:val="24"/>
        </w:rPr>
        <w:t xml:space="preserve">Phycology Lab Manual </w:t>
      </w:r>
      <w:r w:rsidR="0073322C">
        <w:rPr>
          <w:rFonts w:ascii="Garamond" w:hAnsi="Garamond"/>
          <w:b/>
          <w:sz w:val="24"/>
          <w:szCs w:val="24"/>
        </w:rPr>
        <w:t>- ___________</w:t>
      </w:r>
      <w:proofErr w:type="gramStart"/>
      <w:r w:rsidR="0073322C">
        <w:rPr>
          <w:rFonts w:ascii="Garamond" w:hAnsi="Garamond"/>
          <w:b/>
          <w:sz w:val="24"/>
          <w:szCs w:val="24"/>
        </w:rPr>
        <w:t>_(</w:t>
      </w:r>
      <w:proofErr w:type="gramEnd"/>
      <w:r w:rsidR="0073322C">
        <w:rPr>
          <w:rFonts w:ascii="Garamond" w:hAnsi="Garamond"/>
          <w:b/>
          <w:sz w:val="24"/>
          <w:szCs w:val="24"/>
        </w:rPr>
        <w:t>title)</w:t>
      </w:r>
    </w:p>
    <w:p w:rsidR="0073322C" w:rsidRPr="006F01BC" w:rsidRDefault="0073322C" w:rsidP="0004225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______________(author) - ____________________(affiliation)</w:t>
      </w:r>
    </w:p>
    <w:p w:rsidR="007878BE" w:rsidRPr="006F01BC" w:rsidRDefault="007878BE">
      <w:pPr>
        <w:rPr>
          <w:rFonts w:ascii="Garamond" w:hAnsi="Garamond"/>
          <w:b/>
          <w:u w:val="single"/>
        </w:rPr>
      </w:pPr>
      <w:r w:rsidRPr="006F01BC">
        <w:rPr>
          <w:rFonts w:ascii="Garamond" w:hAnsi="Garamond"/>
          <w:b/>
          <w:u w:val="single"/>
        </w:rPr>
        <w:t>Learning Objective</w:t>
      </w:r>
      <w:r w:rsidR="00B35745" w:rsidRPr="006F01BC">
        <w:rPr>
          <w:rFonts w:ascii="Garamond" w:hAnsi="Garamond"/>
          <w:b/>
          <w:u w:val="single"/>
        </w:rPr>
        <w:t>s</w:t>
      </w:r>
    </w:p>
    <w:p w:rsidR="000B6818" w:rsidRPr="006F01BC" w:rsidRDefault="000B6818" w:rsidP="000B6818">
      <w:pPr>
        <w:rPr>
          <w:rFonts w:ascii="Garamond" w:hAnsi="Garamond"/>
        </w:rPr>
      </w:pPr>
      <w:r w:rsidRPr="006F01BC">
        <w:rPr>
          <w:rFonts w:ascii="Garamond" w:hAnsi="Garamond"/>
        </w:rPr>
        <w:t>By the end of this activity, students should be able to ___________</w:t>
      </w:r>
      <w:proofErr w:type="gramStart"/>
      <w:r w:rsidRPr="006F01BC">
        <w:rPr>
          <w:rFonts w:ascii="Garamond" w:hAnsi="Garamond"/>
        </w:rPr>
        <w:t>_(</w:t>
      </w:r>
      <w:proofErr w:type="gramEnd"/>
      <w:r w:rsidRPr="006F01BC">
        <w:rPr>
          <w:rFonts w:ascii="Garamond" w:hAnsi="Garamond"/>
        </w:rPr>
        <w:t>e.g., use a skill) to ___________ (e.g., learn content).</w:t>
      </w:r>
    </w:p>
    <w:p w:rsidR="007878BE" w:rsidRPr="006F01BC" w:rsidRDefault="007878BE" w:rsidP="00B35745">
      <w:pPr>
        <w:rPr>
          <w:rFonts w:ascii="Garamond" w:hAnsi="Garamond"/>
        </w:rPr>
      </w:pPr>
      <w:r w:rsidRPr="006F01BC">
        <w:rPr>
          <w:rFonts w:ascii="Garamond" w:hAnsi="Garamond"/>
        </w:rPr>
        <w:t xml:space="preserve">Lower level </w:t>
      </w:r>
      <w:r w:rsidR="00B35745" w:rsidRPr="006F01BC">
        <w:rPr>
          <w:rFonts w:ascii="Garamond" w:hAnsi="Garamond"/>
        </w:rPr>
        <w:t xml:space="preserve">skills (e.g., to understand, to observe, to summarize, to identify) </w:t>
      </w:r>
      <w:r w:rsidRPr="006F01BC">
        <w:rPr>
          <w:rFonts w:ascii="Garamond" w:hAnsi="Garamond"/>
        </w:rPr>
        <w:t xml:space="preserve">and higher level skills </w:t>
      </w:r>
      <w:r w:rsidR="00B35745" w:rsidRPr="006F01BC">
        <w:rPr>
          <w:rFonts w:ascii="Garamond" w:hAnsi="Garamond"/>
        </w:rPr>
        <w:t xml:space="preserve">(e.g., to evaluate, to compare/contrast, to design, to predict) </w:t>
      </w:r>
      <w:r w:rsidRPr="006F01BC">
        <w:rPr>
          <w:rFonts w:ascii="Garamond" w:hAnsi="Garamond"/>
        </w:rPr>
        <w:t>can be emphasized in the same lab activity</w:t>
      </w:r>
      <w:r w:rsidR="00B35745" w:rsidRPr="006F01BC">
        <w:rPr>
          <w:rFonts w:ascii="Garamond" w:hAnsi="Garamond"/>
        </w:rPr>
        <w:t xml:space="preserve">. See Bloom’s Taxonomy </w:t>
      </w:r>
      <w:r w:rsidR="000B6818" w:rsidRPr="006F01BC">
        <w:rPr>
          <w:rFonts w:ascii="Garamond" w:hAnsi="Garamond"/>
        </w:rPr>
        <w:t>example below.</w:t>
      </w:r>
    </w:p>
    <w:p w:rsidR="00B35745" w:rsidRPr="006F01BC" w:rsidRDefault="00B35745" w:rsidP="00B35745">
      <w:pPr>
        <w:jc w:val="center"/>
        <w:rPr>
          <w:rFonts w:ascii="Garamond" w:hAnsi="Garamond"/>
        </w:rPr>
      </w:pPr>
      <w:r w:rsidRPr="006F01BC">
        <w:rPr>
          <w:rFonts w:ascii="Garamond" w:hAnsi="Garamond"/>
          <w:noProof/>
        </w:rPr>
        <w:drawing>
          <wp:inline distT="0" distB="0" distL="0" distR="0">
            <wp:extent cx="4406264" cy="2387600"/>
            <wp:effectExtent l="0" t="0" r="0" b="0"/>
            <wp:docPr id="1" name="Picture 1" descr="https://emtaylorblog.files.wordpress.com/2014/10/blo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taylorblog.files.wordpress.com/2014/10/bloom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3398" r="3391" b="5293"/>
                    <a:stretch/>
                  </pic:blipFill>
                  <pic:spPr bwMode="auto">
                    <a:xfrm>
                      <a:off x="0" y="0"/>
                      <a:ext cx="4412610" cy="239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8BE" w:rsidRPr="006F01BC" w:rsidRDefault="007878BE">
      <w:pPr>
        <w:rPr>
          <w:rFonts w:ascii="Garamond" w:hAnsi="Garamond"/>
        </w:rPr>
      </w:pPr>
    </w:p>
    <w:p w:rsidR="007878BE" w:rsidRPr="006F01BC" w:rsidRDefault="0004225B">
      <w:pPr>
        <w:rPr>
          <w:rFonts w:ascii="Garamond" w:hAnsi="Garamond"/>
          <w:b/>
          <w:u w:val="single"/>
        </w:rPr>
      </w:pPr>
      <w:r w:rsidRPr="006F01BC">
        <w:rPr>
          <w:rFonts w:ascii="Garamond" w:hAnsi="Garamond"/>
          <w:b/>
          <w:u w:val="single"/>
        </w:rPr>
        <w:t>Assessment M</w:t>
      </w:r>
      <w:r w:rsidR="007878BE" w:rsidRPr="006F01BC">
        <w:rPr>
          <w:rFonts w:ascii="Garamond" w:hAnsi="Garamond"/>
          <w:b/>
          <w:u w:val="single"/>
        </w:rPr>
        <w:t>ethod</w:t>
      </w:r>
    </w:p>
    <w:p w:rsidR="007878BE" w:rsidRPr="006F01BC" w:rsidRDefault="007878BE">
      <w:pPr>
        <w:rPr>
          <w:rFonts w:ascii="Garamond" w:hAnsi="Garamond"/>
        </w:rPr>
      </w:pPr>
      <w:r w:rsidRPr="006F01BC">
        <w:rPr>
          <w:rFonts w:ascii="Garamond" w:hAnsi="Garamond"/>
        </w:rPr>
        <w:t xml:space="preserve">A student will show they have mastered the learning objective when they can </w:t>
      </w:r>
      <w:r w:rsidR="000B6818" w:rsidRPr="006F01BC">
        <w:rPr>
          <w:rFonts w:ascii="Garamond" w:hAnsi="Garamond"/>
        </w:rPr>
        <w:t xml:space="preserve">successfully complete a task using skills learned during the lab activity (called a performance-based assessment).  Students should be asked to demonstrate their control of the content taught by using the knowledge in a way that reveals their understanding, not their memorization. </w:t>
      </w:r>
      <w:r w:rsidR="006F01BC" w:rsidRPr="006F01BC">
        <w:rPr>
          <w:rFonts w:ascii="Garamond" w:hAnsi="Garamond"/>
        </w:rPr>
        <w:t>It should be noted that if an application has been taught explicitly, and the answer is provided from memory by the student, rather than representing the presentation of a new situation, the objective assessed is factual recall, not application.</w:t>
      </w:r>
      <w:r w:rsidR="006F01BC">
        <w:rPr>
          <w:rFonts w:ascii="Garamond" w:hAnsi="Garamond"/>
        </w:rPr>
        <w:t xml:space="preserve"> </w:t>
      </w:r>
      <w:r w:rsidR="000B6818" w:rsidRPr="006F01BC">
        <w:rPr>
          <w:rFonts w:ascii="Garamond" w:hAnsi="Garamond"/>
        </w:rPr>
        <w:t xml:space="preserve"> Students should only be assessed </w:t>
      </w:r>
      <w:r w:rsidR="0051772A" w:rsidRPr="006F01BC">
        <w:rPr>
          <w:rFonts w:ascii="Garamond" w:hAnsi="Garamond"/>
        </w:rPr>
        <w:t>on those skills which are directly relevant to the learning objectives.</w:t>
      </w:r>
    </w:p>
    <w:p w:rsidR="007878BE" w:rsidRPr="006F01BC" w:rsidRDefault="0051772A">
      <w:pPr>
        <w:rPr>
          <w:rFonts w:ascii="Garamond" w:hAnsi="Garamond"/>
        </w:rPr>
      </w:pPr>
      <w:r w:rsidRPr="006F01BC">
        <w:rPr>
          <w:rFonts w:ascii="Garamond" w:hAnsi="Garamond"/>
        </w:rPr>
        <w:t xml:space="preserve">Completion items (fill in the blank), Describe an application of a principle, Explain a cause-and-effect, Formulate a hypothesis/conclusion, Describe limitations of data, Explain method or procedure, Evaluate the worth of an idea, create or design something like an experiment, </w:t>
      </w:r>
      <w:r w:rsidR="006F01BC">
        <w:rPr>
          <w:rFonts w:ascii="Garamond" w:hAnsi="Garamond"/>
        </w:rPr>
        <w:t>Develop or assess case studies or scenarios.</w:t>
      </w:r>
    </w:p>
    <w:p w:rsidR="0051772A" w:rsidRPr="006F01BC" w:rsidRDefault="0051772A" w:rsidP="0051772A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7878BE" w:rsidRPr="006F01BC" w:rsidRDefault="0004225B">
      <w:pPr>
        <w:rPr>
          <w:rFonts w:ascii="Garamond" w:hAnsi="Garamond"/>
          <w:b/>
          <w:u w:val="single"/>
        </w:rPr>
      </w:pPr>
      <w:r w:rsidRPr="006F01BC">
        <w:rPr>
          <w:rFonts w:ascii="Garamond" w:hAnsi="Garamond"/>
          <w:b/>
          <w:u w:val="single"/>
        </w:rPr>
        <w:t>Instructor N</w:t>
      </w:r>
      <w:r w:rsidR="007878BE" w:rsidRPr="006F01BC">
        <w:rPr>
          <w:rFonts w:ascii="Garamond" w:hAnsi="Garamond"/>
          <w:b/>
          <w:u w:val="single"/>
        </w:rPr>
        <w:t>otes</w:t>
      </w:r>
    </w:p>
    <w:p w:rsidR="007878BE" w:rsidRPr="006F01BC" w:rsidRDefault="007878BE">
      <w:pPr>
        <w:rPr>
          <w:rFonts w:ascii="Garamond" w:hAnsi="Garamond"/>
        </w:rPr>
      </w:pPr>
      <w:r w:rsidRPr="006F01BC">
        <w:rPr>
          <w:rFonts w:ascii="Garamond" w:hAnsi="Garamond"/>
        </w:rPr>
        <w:t>Materials or supplies required:</w:t>
      </w:r>
    </w:p>
    <w:p w:rsidR="007878BE" w:rsidRDefault="007878BE">
      <w:pPr>
        <w:rPr>
          <w:rFonts w:ascii="Garamond" w:hAnsi="Garamond"/>
        </w:rPr>
      </w:pPr>
      <w:r w:rsidRPr="006F01BC">
        <w:rPr>
          <w:rFonts w:ascii="Garamond" w:hAnsi="Garamond"/>
        </w:rPr>
        <w:t>Equipment required:</w:t>
      </w:r>
    </w:p>
    <w:p w:rsidR="006F01BC" w:rsidRDefault="006F01BC" w:rsidP="006F01BC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Techniques required (those which are </w:t>
      </w:r>
      <w:r w:rsidRPr="006F01BC">
        <w:rPr>
          <w:rFonts w:ascii="Garamond" w:hAnsi="Garamond"/>
          <w:u w:val="single"/>
        </w:rPr>
        <w:t>not</w:t>
      </w:r>
      <w:r>
        <w:rPr>
          <w:rFonts w:ascii="Garamond" w:hAnsi="Garamond"/>
        </w:rPr>
        <w:t xml:space="preserve"> taught during the activity but students must already have a working knowledge):</w:t>
      </w:r>
    </w:p>
    <w:p w:rsidR="007878BE" w:rsidRPr="006F01BC" w:rsidRDefault="007878BE">
      <w:pPr>
        <w:rPr>
          <w:rFonts w:ascii="Garamond" w:hAnsi="Garamond"/>
        </w:rPr>
      </w:pPr>
      <w:r w:rsidRPr="006F01BC">
        <w:rPr>
          <w:rFonts w:ascii="Garamond" w:hAnsi="Garamond"/>
        </w:rPr>
        <w:t>Time required:</w:t>
      </w:r>
    </w:p>
    <w:p w:rsidR="007878BE" w:rsidRDefault="007878BE">
      <w:pPr>
        <w:rPr>
          <w:rFonts w:ascii="Garamond" w:hAnsi="Garamond"/>
        </w:rPr>
      </w:pPr>
      <w:r w:rsidRPr="006F01BC">
        <w:rPr>
          <w:rFonts w:ascii="Garamond" w:hAnsi="Garamond"/>
        </w:rPr>
        <w:t xml:space="preserve">Anticipated audience:  1) intro majors course   2) upper level majors </w:t>
      </w:r>
      <w:proofErr w:type="gramStart"/>
      <w:r w:rsidRPr="006F01BC">
        <w:rPr>
          <w:rFonts w:ascii="Garamond" w:hAnsi="Garamond"/>
        </w:rPr>
        <w:t>course  3</w:t>
      </w:r>
      <w:proofErr w:type="gramEnd"/>
      <w:r w:rsidRPr="006F01BC">
        <w:rPr>
          <w:rFonts w:ascii="Garamond" w:hAnsi="Garamond"/>
        </w:rPr>
        <w:t xml:space="preserve">) </w:t>
      </w:r>
      <w:proofErr w:type="spellStart"/>
      <w:r w:rsidRPr="006F01BC">
        <w:rPr>
          <w:rFonts w:ascii="Garamond" w:hAnsi="Garamond"/>
        </w:rPr>
        <w:t>nonmajors</w:t>
      </w:r>
      <w:proofErr w:type="spellEnd"/>
      <w:r w:rsidRPr="006F01BC">
        <w:rPr>
          <w:rFonts w:ascii="Garamond" w:hAnsi="Garamond"/>
        </w:rPr>
        <w:t xml:space="preserve"> course  4) graduate course    5) outreach</w:t>
      </w:r>
    </w:p>
    <w:p w:rsidR="00D75644" w:rsidRDefault="00D75644">
      <w:pPr>
        <w:rPr>
          <w:rFonts w:ascii="Garamond" w:hAnsi="Garamond"/>
          <w:b/>
          <w:u w:val="single"/>
        </w:rPr>
      </w:pPr>
    </w:p>
    <w:p w:rsidR="007878BE" w:rsidRPr="006F01BC" w:rsidRDefault="0004225B">
      <w:pPr>
        <w:rPr>
          <w:rFonts w:ascii="Garamond" w:hAnsi="Garamond"/>
          <w:b/>
          <w:u w:val="single"/>
        </w:rPr>
      </w:pPr>
      <w:r w:rsidRPr="006F01BC">
        <w:rPr>
          <w:rFonts w:ascii="Garamond" w:hAnsi="Garamond"/>
          <w:b/>
          <w:u w:val="single"/>
        </w:rPr>
        <w:t>Pre-lab A</w:t>
      </w:r>
      <w:r w:rsidR="007878BE" w:rsidRPr="006F01BC">
        <w:rPr>
          <w:rFonts w:ascii="Garamond" w:hAnsi="Garamond"/>
          <w:b/>
          <w:u w:val="single"/>
        </w:rPr>
        <w:t>ssignments</w:t>
      </w:r>
    </w:p>
    <w:p w:rsidR="007878BE" w:rsidRPr="006F01BC" w:rsidRDefault="007878BE">
      <w:pPr>
        <w:rPr>
          <w:rFonts w:ascii="Garamond" w:hAnsi="Garamond"/>
        </w:rPr>
      </w:pPr>
      <w:r w:rsidRPr="006F01BC">
        <w:rPr>
          <w:rFonts w:ascii="Garamond" w:hAnsi="Garamond"/>
        </w:rPr>
        <w:t>Reading assignments</w:t>
      </w:r>
      <w:r w:rsidR="006F01BC">
        <w:rPr>
          <w:rFonts w:ascii="Garamond" w:hAnsi="Garamond"/>
        </w:rPr>
        <w:t xml:space="preserve">, pre-lab concept checks, sample quizzes similar to those which will be used during assessment </w:t>
      </w:r>
    </w:p>
    <w:p w:rsidR="00D75644" w:rsidRDefault="00D75644">
      <w:pPr>
        <w:rPr>
          <w:rFonts w:ascii="Garamond" w:hAnsi="Garamond"/>
          <w:b/>
          <w:u w:val="single"/>
        </w:rPr>
      </w:pPr>
    </w:p>
    <w:p w:rsidR="007878BE" w:rsidRPr="006F01BC" w:rsidRDefault="0004225B">
      <w:pPr>
        <w:rPr>
          <w:rFonts w:ascii="Garamond" w:hAnsi="Garamond"/>
          <w:b/>
          <w:u w:val="single"/>
        </w:rPr>
      </w:pPr>
      <w:r w:rsidRPr="006F01BC">
        <w:rPr>
          <w:rFonts w:ascii="Garamond" w:hAnsi="Garamond"/>
          <w:b/>
          <w:u w:val="single"/>
        </w:rPr>
        <w:t>Lab Procedure</w:t>
      </w:r>
    </w:p>
    <w:p w:rsidR="007878BE" w:rsidRPr="006F01BC" w:rsidRDefault="000250DA">
      <w:pPr>
        <w:rPr>
          <w:rFonts w:ascii="Garamond" w:hAnsi="Garamond"/>
        </w:rPr>
      </w:pPr>
      <w:r>
        <w:rPr>
          <w:rFonts w:ascii="Garamond" w:hAnsi="Garamond"/>
        </w:rPr>
        <w:t>Step-by-step guidance through procedure, referencing pre-lab assignments as necessary</w:t>
      </w:r>
      <w:r w:rsidR="00D75644">
        <w:rPr>
          <w:rFonts w:ascii="Garamond" w:hAnsi="Garamond"/>
        </w:rPr>
        <w:t xml:space="preserve">.  </w:t>
      </w:r>
      <w:r>
        <w:rPr>
          <w:rFonts w:ascii="Garamond" w:hAnsi="Garamond"/>
        </w:rPr>
        <w:t>Lab activities should be i</w:t>
      </w:r>
      <w:r w:rsidR="007878BE" w:rsidRPr="006F01BC">
        <w:rPr>
          <w:rFonts w:ascii="Garamond" w:hAnsi="Garamond"/>
        </w:rPr>
        <w:t>nquiry-based</w:t>
      </w:r>
      <w:r w:rsidR="00032EC9">
        <w:rPr>
          <w:rFonts w:ascii="Garamond" w:hAnsi="Garamond"/>
        </w:rPr>
        <w:t xml:space="preserve"> when possible</w:t>
      </w:r>
      <w:r>
        <w:rPr>
          <w:rFonts w:ascii="Garamond" w:hAnsi="Garamond"/>
        </w:rPr>
        <w:t xml:space="preserve"> </w:t>
      </w:r>
      <w:r w:rsidR="00032EC9">
        <w:rPr>
          <w:rFonts w:ascii="Garamond" w:hAnsi="Garamond"/>
        </w:rPr>
        <w:t xml:space="preserve">(e.g., </w:t>
      </w:r>
      <w:r>
        <w:rPr>
          <w:rFonts w:ascii="Garamond" w:hAnsi="Garamond"/>
        </w:rPr>
        <w:t xml:space="preserve">utilizing a </w:t>
      </w:r>
      <w:r w:rsidR="007878BE" w:rsidRPr="006F01BC">
        <w:rPr>
          <w:rFonts w:ascii="Garamond" w:hAnsi="Garamond"/>
        </w:rPr>
        <w:t xml:space="preserve">hypothesis </w:t>
      </w:r>
      <w:r w:rsidR="00032EC9">
        <w:rPr>
          <w:rFonts w:ascii="Garamond" w:hAnsi="Garamond"/>
        </w:rPr>
        <w:t>with revisit after exploration).</w:t>
      </w:r>
    </w:p>
    <w:p w:rsidR="007878BE" w:rsidRPr="006F01BC" w:rsidRDefault="007878BE">
      <w:pPr>
        <w:rPr>
          <w:rFonts w:ascii="Garamond" w:hAnsi="Garamond"/>
        </w:rPr>
      </w:pPr>
    </w:p>
    <w:p w:rsidR="007878BE" w:rsidRPr="006F01BC" w:rsidRDefault="008241C4">
      <w:pPr>
        <w:rPr>
          <w:rFonts w:ascii="Garamond" w:hAnsi="Garamond"/>
          <w:b/>
          <w:u w:val="single"/>
        </w:rPr>
      </w:pPr>
      <w:r w:rsidRPr="006F01BC">
        <w:rPr>
          <w:rFonts w:ascii="Garamond" w:hAnsi="Garamond"/>
          <w:b/>
          <w:u w:val="single"/>
        </w:rPr>
        <w:t>Post-lab Activities</w:t>
      </w:r>
    </w:p>
    <w:p w:rsidR="007878BE" w:rsidRDefault="00D75644">
      <w:pPr>
        <w:rPr>
          <w:rFonts w:ascii="Garamond" w:hAnsi="Garamond"/>
        </w:rPr>
      </w:pPr>
      <w:r>
        <w:rPr>
          <w:rFonts w:ascii="Garamond" w:hAnsi="Garamond"/>
        </w:rPr>
        <w:t>Example of a</w:t>
      </w:r>
      <w:r w:rsidR="007878BE" w:rsidRPr="006F01BC">
        <w:rPr>
          <w:rFonts w:ascii="Garamond" w:hAnsi="Garamond"/>
        </w:rPr>
        <w:t>ssessment</w:t>
      </w:r>
      <w:r>
        <w:rPr>
          <w:rFonts w:ascii="Garamond" w:hAnsi="Garamond"/>
        </w:rPr>
        <w:t xml:space="preserve"> (test of learning objective mastery and</w:t>
      </w:r>
      <w:r w:rsidR="007878BE" w:rsidRPr="006F01BC">
        <w:rPr>
          <w:rFonts w:ascii="Garamond" w:hAnsi="Garamond"/>
        </w:rPr>
        <w:t xml:space="preserve"> skill transfer</w:t>
      </w:r>
      <w:r>
        <w:rPr>
          <w:rFonts w:ascii="Garamond" w:hAnsi="Garamond"/>
        </w:rPr>
        <w:t>).</w:t>
      </w:r>
    </w:p>
    <w:p w:rsidR="00E77F47" w:rsidRDefault="00E77F47">
      <w:pPr>
        <w:rPr>
          <w:rFonts w:ascii="Garamond" w:hAnsi="Garamond"/>
        </w:rPr>
      </w:pPr>
    </w:p>
    <w:p w:rsidR="00E77F47" w:rsidRDefault="00E77F47">
      <w:pPr>
        <w:rPr>
          <w:rFonts w:ascii="Garamond" w:hAnsi="Garamond"/>
        </w:rPr>
      </w:pPr>
    </w:p>
    <w:p w:rsidR="00E77F47" w:rsidRDefault="00E77F47">
      <w:pPr>
        <w:rPr>
          <w:rFonts w:ascii="Garamond" w:hAnsi="Garamond"/>
        </w:rPr>
      </w:pPr>
      <w:r>
        <w:rPr>
          <w:rFonts w:ascii="Garamond" w:hAnsi="Garamond"/>
        </w:rPr>
        <w:t>Name:</w:t>
      </w:r>
    </w:p>
    <w:p w:rsidR="00E77F47" w:rsidRPr="006F01BC" w:rsidRDefault="00E77F47">
      <w:pPr>
        <w:rPr>
          <w:rFonts w:ascii="Garamond" w:hAnsi="Garamond"/>
        </w:rPr>
      </w:pPr>
      <w:r>
        <w:rPr>
          <w:rFonts w:ascii="Garamond" w:hAnsi="Garamond"/>
        </w:rPr>
        <w:t>Contact information:</w:t>
      </w:r>
    </w:p>
    <w:sectPr w:rsidR="00E77F47" w:rsidRPr="006F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E"/>
    <w:rsid w:val="000250DA"/>
    <w:rsid w:val="00032EC9"/>
    <w:rsid w:val="0004225B"/>
    <w:rsid w:val="000B6818"/>
    <w:rsid w:val="003C53CE"/>
    <w:rsid w:val="00402BC1"/>
    <w:rsid w:val="0051772A"/>
    <w:rsid w:val="006F01BC"/>
    <w:rsid w:val="0073322C"/>
    <w:rsid w:val="007878BE"/>
    <w:rsid w:val="008241C4"/>
    <w:rsid w:val="00B3404D"/>
    <w:rsid w:val="00B35745"/>
    <w:rsid w:val="00C855ED"/>
    <w:rsid w:val="00D75644"/>
    <w:rsid w:val="00DA5402"/>
    <w:rsid w:val="00E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6CB6-BAC8-443F-B085-7C71415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Lacey</dc:creator>
  <cp:keywords/>
  <dc:description/>
  <cp:lastModifiedBy>Elizabeth Lacey</cp:lastModifiedBy>
  <cp:revision>2</cp:revision>
  <cp:lastPrinted>2017-04-19T11:08:00Z</cp:lastPrinted>
  <dcterms:created xsi:type="dcterms:W3CDTF">2019-04-27T20:18:00Z</dcterms:created>
  <dcterms:modified xsi:type="dcterms:W3CDTF">2019-04-27T20:18:00Z</dcterms:modified>
</cp:coreProperties>
</file>